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They devoted themselves to the apostles</w:t>
      </w:r>
      <w:r>
        <w:rPr>
          <w:i w:val="1"/>
          <w:iCs w:val="1"/>
          <w:rtl w:val="0"/>
        </w:rPr>
        <w:t xml:space="preserve">’ </w:t>
      </w:r>
      <w:r>
        <w:rPr>
          <w:i w:val="1"/>
          <w:iCs w:val="1"/>
          <w:rtl w:val="0"/>
          <w:lang w:val="en-US"/>
        </w:rPr>
        <w:t>teaching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  <w:lang w:val="en-US"/>
        </w:rPr>
        <w:t>and to fellowship, to the breaking of bread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  <w:lang w:val="en-US"/>
        </w:rPr>
        <w:t>and to prayer. Acts 2:42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i w:val="0"/>
          <w:iCs w:val="0"/>
        </w:rPr>
      </w:pPr>
      <w:r>
        <w:rPr>
          <w:rFonts w:ascii="Helvetica Neue Bold Condensed" w:hAnsi="Helvetica Neue Bold Condensed"/>
          <w:i w:val="0"/>
          <w:iCs w:val="0"/>
          <w:rtl w:val="0"/>
          <w:lang w:val="de-DE"/>
        </w:rPr>
        <w:t>A SIMPLECHURCH LITURGY</w:t>
      </w:r>
      <w:r>
        <w:rPr>
          <w:rFonts w:ascii="Helvetica Neue Bold Condensed" w:hAnsi="Helvetica Neue Bold Condensed"/>
          <w:i w:val="0"/>
          <w:iCs w:val="0"/>
          <w:rtl w:val="0"/>
          <w:lang w:val="en-US"/>
        </w:rPr>
        <w:t xml:space="preserve"> &amp; CANDLE LIGHTING</w:t>
      </w:r>
    </w:p>
    <w:p>
      <w:pPr>
        <w:pStyle w:val="Body"/>
        <w:rPr>
          <w:i w:val="1"/>
          <w:iCs w:val="1"/>
        </w:rPr>
      </w:pPr>
      <w:r>
        <w:rPr>
          <w:rFonts w:ascii="Helvetica Neue Bold Condensed" w:hAnsi="Helvetica Neue Bold Condensed"/>
          <w:i w:val="0"/>
          <w:iCs w:val="0"/>
          <w:rtl w:val="0"/>
          <w:lang w:val="en-US"/>
        </w:rPr>
        <w:t xml:space="preserve">A leader should be appointed the week ahead to prepare for the gathering - choose scripture, song and ensure bread and juice are ready.  This same person can lead the liturgy - appointing helpers and participants along the way.  </w:t>
      </w:r>
      <w:r>
        <w:rPr>
          <w:i w:val="1"/>
          <w:iCs w:val="1"/>
          <w:rtl w:val="0"/>
        </w:rPr>
        <w:t> </w:t>
      </w:r>
    </w:p>
    <w:p>
      <w:pPr>
        <w:pStyle w:val="Body"/>
        <w:rPr>
          <w:i w:val="1"/>
          <w:iCs w:val="1"/>
        </w:rPr>
      </w:pPr>
    </w:p>
    <w:p>
      <w:pPr>
        <w:pStyle w:val="Body"/>
        <w:numPr>
          <w:ilvl w:val="0"/>
          <w:numId w:val="2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Candle Lighting and Opening Prayer</w:t>
      </w:r>
    </w:p>
    <w:p>
      <w:pPr>
        <w:pStyle w:val="Body"/>
        <w:bidi w:val="0"/>
      </w:pPr>
      <w:r>
        <w:rPr>
          <w:rtl w:val="0"/>
          <w:lang w:val="en-US"/>
        </w:rPr>
        <w:t>To set apart your time (sacred and common time) light a candle and offer a s</w:t>
      </w:r>
      <w:r>
        <w:rPr>
          <w:rtl w:val="0"/>
          <w:lang w:val="en-US"/>
        </w:rPr>
        <w:t xml:space="preserve">imple prayer of welcome. </w:t>
      </w:r>
      <w:r>
        <w:rPr>
          <w:rtl w:val="0"/>
        </w:rPr>
        <w:t>“</w:t>
      </w:r>
      <w:r>
        <w:rPr>
          <w:rtl w:val="0"/>
          <w:lang w:val="en-US"/>
        </w:rPr>
        <w:t>Jesus, we are here to worship you. We set this time aside now to see you.</w:t>
      </w:r>
      <w:r>
        <w:rPr>
          <w:rtl w:val="0"/>
        </w:rPr>
        <w:t>”  </w:t>
      </w:r>
      <w:r>
        <w:rPr>
          <w:rtl w:val="0"/>
          <w:lang w:val="en-US"/>
        </w:rPr>
        <w:t xml:space="preserve">The candle can be a wonderful tradition for the children and a simple reminder of Jesus presence. </w:t>
      </w:r>
    </w:p>
    <w:p>
      <w:pPr>
        <w:pStyle w:val="Body"/>
        <w:bidi w:val="0"/>
      </w:pPr>
    </w:p>
    <w:p>
      <w:pPr>
        <w:pStyle w:val="Body"/>
        <w:numPr>
          <w:ilvl w:val="0"/>
          <w:numId w:val="3"/>
        </w:numPr>
        <w:rPr>
          <w:b w:val="1"/>
          <w:bCs w:val="1"/>
        </w:rPr>
      </w:pPr>
      <w:r>
        <w:rPr>
          <w:b w:val="1"/>
          <w:bCs w:val="1"/>
          <w:rtl w:val="0"/>
        </w:rPr>
        <w:t>Songs</w:t>
      </w:r>
    </w:p>
    <w:p>
      <w:pPr>
        <w:pStyle w:val="Body"/>
      </w:pPr>
      <w:r>
        <w:rPr>
          <w:rtl w:val="0"/>
          <w:lang w:val="en-US"/>
        </w:rPr>
        <w:t xml:space="preserve">Do you have a song or two you want to sing together? Youtube, or live music is great.  Or just a song to listen to - something to meditate on? </w:t>
      </w:r>
    </w:p>
    <w:p>
      <w:pPr>
        <w:pStyle w:val="Body"/>
        <w:bidi w:val="0"/>
      </w:pPr>
      <w:r>
        <w:rPr>
          <w:rtl w:val="0"/>
        </w:rPr>
        <w:t xml:space="preserve">  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Scripture Reading &amp; Teaching</w:t>
      </w:r>
      <w:r>
        <w:rPr>
          <w:b w:val="1"/>
          <w:bCs w:val="1"/>
          <w:rtl w:val="0"/>
          <w:lang w:val="en-US"/>
        </w:rPr>
        <w:t xml:space="preserve"> (Or 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3022600</wp:posOffset>
            </wp:positionH>
            <wp:positionV relativeFrom="page">
              <wp:posOffset>393700</wp:posOffset>
            </wp:positionV>
            <wp:extent cx="1714500" cy="124613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mple Church Logo_dark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461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rtl w:val="0"/>
          <w:lang w:val="en-US"/>
        </w:rPr>
        <w:t>Lectio)</w:t>
      </w:r>
    </w:p>
    <w:p>
      <w:pPr>
        <w:pStyle w:val="Body"/>
        <w:bidi w:val="0"/>
      </w:pPr>
      <w:r>
        <w:rPr>
          <w:rtl w:val="0"/>
          <w:lang w:val="en-US"/>
        </w:rPr>
        <w:t>Read the scripture together - a couple of times through.  One person can read for everyone or the group can read together. If you have children, let them read. Another great way to include them.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Then discuss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 xml:space="preserve">use simple questions to guide your conversation: </w:t>
      </w:r>
    </w:p>
    <w:p>
      <w:pPr>
        <w:pStyle w:val="Body"/>
        <w:bidi w:val="0"/>
        <w:ind w:left="720"/>
      </w:pPr>
      <w:r>
        <w:rPr>
          <w:rtl w:val="0"/>
          <w:lang w:val="en-US"/>
        </w:rPr>
        <w:t xml:space="preserve">What stood out to you? What is God saying to us in this scripture? </w:t>
      </w:r>
    </w:p>
    <w:p>
      <w:pPr>
        <w:pStyle w:val="Body"/>
        <w:bidi w:val="0"/>
        <w:ind w:left="720"/>
      </w:pPr>
      <w:r>
        <w:rPr>
          <w:rtl w:val="0"/>
          <w:lang w:val="en-US"/>
        </w:rPr>
        <w:t xml:space="preserve">What does the scripture teach us about God? </w:t>
      </w:r>
    </w:p>
    <w:p>
      <w:pPr>
        <w:pStyle w:val="Body"/>
        <w:bidi w:val="0"/>
        <w:ind w:left="720"/>
      </w:pPr>
      <w:r>
        <w:rPr>
          <w:rtl w:val="0"/>
          <w:lang w:val="en-US"/>
        </w:rPr>
        <w:t xml:space="preserve">Where do you struggle? </w:t>
      </w:r>
    </w:p>
    <w:p>
      <w:pPr>
        <w:pStyle w:val="Body"/>
        <w:bidi w:val="0"/>
      </w:pPr>
    </w:p>
    <w:p>
      <w:pPr>
        <w:pStyle w:val="Body"/>
        <w:numPr>
          <w:ilvl w:val="0"/>
          <w:numId w:val="5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Prayers</w:t>
      </w:r>
    </w:p>
    <w:p>
      <w:pPr>
        <w:pStyle w:val="Body"/>
      </w:pPr>
      <w:r>
        <w:rPr>
          <w:rtl w:val="0"/>
          <w:lang w:val="en-US"/>
        </w:rPr>
        <w:t xml:space="preserve">Pray for each other, your city and world. Keep track of your prayers from week to week in a book and review each week as you pray. </w:t>
      </w:r>
    </w:p>
    <w:p>
      <w:pPr>
        <w:pStyle w:val="Body"/>
        <w:bidi w:val="0"/>
      </w:pPr>
    </w:p>
    <w:p>
      <w:pPr>
        <w:pStyle w:val="Body"/>
        <w:numPr>
          <w:ilvl w:val="0"/>
          <w:numId w:val="6"/>
        </w:numPr>
        <w:rPr>
          <w:b w:val="1"/>
          <w:bCs w:val="1"/>
          <w:lang w:val="it-IT"/>
        </w:rPr>
      </w:pPr>
      <w:r>
        <w:rPr>
          <w:b w:val="1"/>
          <w:bCs w:val="1"/>
          <w:rtl w:val="0"/>
          <w:lang w:val="it-IT"/>
        </w:rPr>
        <w:t>Lord</w:t>
      </w:r>
      <w:r>
        <w:rPr>
          <w:b w:val="1"/>
          <w:bCs w:val="1"/>
          <w:rtl w:val="0"/>
        </w:rPr>
        <w:t>’</w:t>
      </w:r>
      <w:r>
        <w:rPr>
          <w:b w:val="1"/>
          <w:bCs w:val="1"/>
          <w:rtl w:val="0"/>
          <w:lang w:val="en-US"/>
        </w:rPr>
        <w:t xml:space="preserve">s Supper </w:t>
      </w:r>
    </w:p>
    <w:p>
      <w:pPr>
        <w:pStyle w:val="Body"/>
        <w:bidi w:val="0"/>
      </w:pPr>
      <w:r>
        <w:rPr>
          <w:rtl w:val="0"/>
          <w:lang w:val="en-US"/>
        </w:rPr>
        <w:t>Feel free to guide your church to understand what the meal is.  It</w:t>
      </w:r>
      <w:r>
        <w:rPr>
          <w:rtl w:val="0"/>
        </w:rPr>
        <w:t>’</w:t>
      </w:r>
      <w:r>
        <w:rPr>
          <w:rtl w:val="0"/>
          <w:lang w:val="en-US"/>
        </w:rPr>
        <w:t xml:space="preserve">s a way we remember and receive the sacrifice of Jesus which brought our freedom. </w:t>
      </w:r>
    </w:p>
    <w:p>
      <w:pPr>
        <w:pStyle w:val="Body"/>
        <w:bidi w:val="0"/>
      </w:pPr>
    </w:p>
    <w:p>
      <w:pPr>
        <w:pStyle w:val="Body"/>
        <w:ind w:left="72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+ Scripture - 1 Cor 11:23-26 </w:t>
      </w:r>
      <w:r>
        <w:rPr>
          <w:i w:val="1"/>
          <w:iCs w:val="1"/>
          <w:rtl w:val="0"/>
        </w:rPr>
        <w:t> </w:t>
      </w:r>
    </w:p>
    <w:p>
      <w:pPr>
        <w:pStyle w:val="Body"/>
        <w:bidi w:val="0"/>
        <w:ind w:left="720"/>
      </w:pPr>
      <w:r>
        <w:rPr>
          <w:rtl w:val="0"/>
          <w:lang w:val="en-US"/>
        </w:rPr>
        <w:t>The Lord Jesus, on the night he was betrayed, took bread,</w:t>
      </w:r>
      <w:r>
        <w:rPr>
          <w:rtl w:val="0"/>
        </w:rPr>
        <w:t> </w:t>
      </w:r>
      <w:r>
        <w:rPr>
          <w:rtl w:val="0"/>
        </w:rPr>
        <w:t>24</w:t>
      </w:r>
      <w:r>
        <w:rPr>
          <w:rtl w:val="0"/>
        </w:rPr>
        <w:t> </w:t>
      </w:r>
      <w:r>
        <w:rPr>
          <w:rtl w:val="0"/>
          <w:lang w:val="en-US"/>
        </w:rPr>
        <w:t>and when he had given thanks, he broke it and said,</w:t>
      </w:r>
      <w:r>
        <w:rPr>
          <w:rtl w:val="0"/>
        </w:rPr>
        <w:t> “</w:t>
      </w:r>
      <w:r>
        <w:rPr>
          <w:rtl w:val="0"/>
          <w:lang w:val="en-US"/>
        </w:rPr>
        <w:t>This is my body,</w:t>
      </w:r>
      <w:r>
        <w:rPr>
          <w:rtl w:val="0"/>
        </w:rPr>
        <w:t> </w:t>
      </w:r>
      <w:r>
        <w:rPr>
          <w:rtl w:val="0"/>
          <w:lang w:val="en-US"/>
        </w:rPr>
        <w:t>which is for you;</w:t>
      </w:r>
      <w:r>
        <w:rPr>
          <w:rtl w:val="0"/>
        </w:rPr>
        <w:t> </w:t>
      </w:r>
      <w:r>
        <w:rPr>
          <w:rtl w:val="0"/>
          <w:lang w:val="en-US"/>
        </w:rPr>
        <w:t>do this in remembrance of me.</w:t>
      </w:r>
      <w:r>
        <w:rPr>
          <w:rtl w:val="0"/>
        </w:rPr>
        <w:t>” </w:t>
      </w:r>
      <w:r>
        <w:rPr>
          <w:rtl w:val="0"/>
        </w:rPr>
        <w:t>25</w:t>
      </w:r>
      <w:r>
        <w:rPr>
          <w:rtl w:val="0"/>
        </w:rPr>
        <w:t> </w:t>
      </w:r>
      <w:r>
        <w:rPr>
          <w:rtl w:val="0"/>
          <w:lang w:val="en-US"/>
        </w:rPr>
        <w:t>In the same way, after supper he took the cup, saying,</w:t>
      </w:r>
      <w:r>
        <w:rPr>
          <w:rtl w:val="0"/>
        </w:rPr>
        <w:t> “</w:t>
      </w:r>
      <w:r>
        <w:rPr>
          <w:rtl w:val="0"/>
          <w:lang w:val="en-US"/>
        </w:rPr>
        <w:t>This cup is the new covenant in my blood;</w:t>
      </w:r>
      <w:r>
        <w:rPr>
          <w:rtl w:val="0"/>
        </w:rPr>
        <w:t> </w:t>
      </w:r>
      <w:r>
        <w:rPr>
          <w:rtl w:val="0"/>
          <w:lang w:val="en-US"/>
        </w:rPr>
        <w:t>do this,</w:t>
      </w:r>
      <w:r>
        <w:rPr>
          <w:rtl w:val="0"/>
        </w:rPr>
        <w:t> </w:t>
      </w:r>
      <w:r>
        <w:rPr>
          <w:rtl w:val="0"/>
          <w:lang w:val="en-US"/>
        </w:rPr>
        <w:t>whenever you drink it, in remembrance of me.</w:t>
      </w:r>
      <w:r>
        <w:rPr>
          <w:rtl w:val="0"/>
        </w:rPr>
        <w:t>” </w:t>
      </w:r>
      <w:r>
        <w:rPr>
          <w:rtl w:val="0"/>
        </w:rPr>
        <w:t>26</w:t>
      </w:r>
      <w:r>
        <w:rPr>
          <w:rtl w:val="0"/>
        </w:rPr>
        <w:t> </w:t>
      </w:r>
      <w:r>
        <w:rPr>
          <w:rtl w:val="0"/>
          <w:lang w:val="en-US"/>
        </w:rPr>
        <w:t>For whenever you eat this bread and drink this cup, you proclaim the Lord</w:t>
      </w:r>
      <w:r>
        <w:rPr>
          <w:rtl w:val="0"/>
        </w:rPr>
        <w:t>’</w:t>
      </w:r>
      <w:r>
        <w:rPr>
          <w:rtl w:val="0"/>
          <w:lang w:val="en-US"/>
        </w:rPr>
        <w:t>s death until he comes.</w:t>
      </w:r>
    </w:p>
    <w:p>
      <w:pPr>
        <w:pStyle w:val="Body"/>
        <w:bidi w:val="0"/>
        <w:ind w:left="720"/>
      </w:pPr>
    </w:p>
    <w:p>
      <w:pPr>
        <w:pStyle w:val="Body"/>
        <w:numPr>
          <w:ilvl w:val="1"/>
          <w:numId w:val="7"/>
        </w:numPr>
        <w:rPr>
          <w:lang w:val="en-US"/>
        </w:rPr>
      </w:pPr>
      <w:r>
        <w:rPr>
          <w:i w:val="1"/>
          <w:iCs w:val="1"/>
          <w:rtl w:val="0"/>
          <w:lang w:val="en-US"/>
        </w:rPr>
        <w:t xml:space="preserve">Blessing and Breaking </w:t>
      </w:r>
    </w:p>
    <w:p>
      <w:pPr>
        <w:pStyle w:val="Body"/>
        <w:bidi w:val="0"/>
        <w:ind w:left="720"/>
      </w:pPr>
      <w:r>
        <w:rPr>
          <w:rtl w:val="0"/>
          <w:lang w:val="en-US"/>
        </w:rPr>
        <w:t xml:space="preserve">Something simple. Break the bread and offer a simple blessing. </w:t>
      </w:r>
      <w:r>
        <w:rPr>
          <w:rtl w:val="0"/>
        </w:rPr>
        <w:t>“</w:t>
      </w:r>
      <w:r>
        <w:rPr>
          <w:rtl w:val="0"/>
          <w:lang w:val="en-US"/>
        </w:rPr>
        <w:t>Jesus, thank you for this meal. Bless it now that we may see you.</w:t>
      </w:r>
      <w:r>
        <w:rPr>
          <w:rtl w:val="0"/>
        </w:rPr>
        <w:t>”  </w:t>
      </w:r>
    </w:p>
    <w:p>
      <w:pPr>
        <w:pStyle w:val="Body"/>
        <w:bidi w:val="0"/>
        <w:ind w:left="1440"/>
      </w:pPr>
    </w:p>
    <w:p>
      <w:pPr>
        <w:pStyle w:val="Body"/>
        <w:bidi w:val="0"/>
        <w:ind w:left="720"/>
      </w:pPr>
      <w:r>
        <w:rPr>
          <w:i w:val="1"/>
          <w:iCs w:val="1"/>
          <w:rtl w:val="0"/>
        </w:rPr>
        <w:t>+ Eat</w:t>
      </w:r>
      <w:r>
        <w:rPr>
          <w:rtl w:val="0"/>
        </w:rPr>
        <w:t xml:space="preserve">  </w:t>
      </w:r>
      <w:r>
        <w:rPr>
          <w:rtl w:val="0"/>
          <w:lang w:val="en-US"/>
        </w:rPr>
        <w:t xml:space="preserve">- If you know you are a sinner and need Jesus. Eat.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6. Benediction</w:t>
      </w:r>
      <w:r>
        <w:rPr>
          <w:rtl w:val="0"/>
          <w:lang w:val="en-US"/>
        </w:rPr>
        <w:t xml:space="preserve"> - A simple concluding blessing. </w:t>
      </w:r>
      <w:r>
        <w:rPr>
          <w:rtl w:val="0"/>
        </w:rPr>
        <w:t>“</w:t>
      </w:r>
      <w:r>
        <w:rPr>
          <w:rtl w:val="0"/>
          <w:lang w:val="en-US"/>
        </w:rPr>
        <w:t>The Lord bless us as we follow him.</w:t>
      </w:r>
      <w:r>
        <w:rPr>
          <w:rtl w:val="0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7</w:t>
      </w:r>
      <w:r>
        <w:rPr>
          <w:b w:val="1"/>
          <w:bCs w:val="1"/>
          <w:rtl w:val="0"/>
        </w:rPr>
        <w:t>. B</w:t>
      </w:r>
      <w:r>
        <w:rPr>
          <w:b w:val="1"/>
          <w:bCs w:val="1"/>
          <w:rtl w:val="0"/>
          <w:lang w:val="en-US"/>
        </w:rPr>
        <w:t xml:space="preserve">low out the Candle - </w:t>
      </w:r>
      <w:r>
        <w:rPr>
          <w:rtl w:val="0"/>
          <w:lang w:val="en-US"/>
        </w:rPr>
        <w:t xml:space="preserve">Ask one of the children to do this.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Bold Condense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"/>
  </w:abstractNum>
  <w:abstractNum w:abstractNumId="1">
    <w:multiLevelType w:val="hybridMultilevel"/>
    <w:styleLink w:val="List"/>
    <w:lvl w:ilvl="0">
      <w:start w:val="1"/>
      <w:numFmt w:val="decimal"/>
      <w:suff w:val="tab"/>
      <w:lvlText w:val="%1."/>
      <w:lvlJc w:val="left"/>
      <w:pPr>
        <w:ind w:left="260" w:hanging="2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620" w:hanging="2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980" w:hanging="2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40" w:hanging="2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1700" w:hanging="2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060" w:hanging="2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20" w:hanging="2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780" w:hanging="2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140" w:hanging="2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+"/>
      <w:lvlJc w:val="left"/>
      <w:pPr>
        <w:ind w:left="20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+"/>
      <w:lvlJc w:val="left"/>
      <w:pPr>
        <w:ind w:left="92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+"/>
      <w:lvlJc w:val="left"/>
      <w:pPr>
        <w:ind w:left="164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+"/>
      <w:lvlJc w:val="left"/>
      <w:pPr>
        <w:ind w:left="236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+"/>
      <w:lvlJc w:val="left"/>
      <w:pPr>
        <w:ind w:left="308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+"/>
      <w:lvlJc w:val="left"/>
      <w:pPr>
        <w:ind w:left="380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+"/>
      <w:lvlJc w:val="left"/>
      <w:pPr>
        <w:ind w:left="452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+"/>
      <w:lvlJc w:val="left"/>
      <w:pPr>
        <w:ind w:left="524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+"/>
      <w:lvlJc w:val="left"/>
      <w:pPr>
        <w:ind w:left="596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List">
    <w:name w:val="Lis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